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7E27" w14:textId="77777777" w:rsidR="00BC53A6" w:rsidRPr="0080599F" w:rsidRDefault="00992A82" w:rsidP="0080599F">
      <w:pPr>
        <w:jc w:val="center"/>
        <w:rPr>
          <w:rFonts w:cs="Times New Roman"/>
          <w:b/>
          <w:szCs w:val="24"/>
          <w:u w:val="single"/>
          <w:lang w:val="de-DE"/>
        </w:rPr>
      </w:pPr>
      <w:r w:rsidRPr="0080599F">
        <w:rPr>
          <w:rFonts w:cs="Times New Roman"/>
          <w:b/>
          <w:szCs w:val="24"/>
          <w:u w:val="single"/>
          <w:lang w:val="de-DE"/>
        </w:rPr>
        <w:t>Liste der aufzubringenden Dokumente zur Unterzeichnung eines Kaufvorvertrags</w:t>
      </w:r>
    </w:p>
    <w:p w14:paraId="3F5A60EE" w14:textId="77777777" w:rsidR="00992A82" w:rsidRPr="0080599F" w:rsidRDefault="00992A82">
      <w:pPr>
        <w:rPr>
          <w:rFonts w:cs="Times New Roman"/>
          <w:sz w:val="20"/>
          <w:szCs w:val="20"/>
          <w:lang w:val="de-DE"/>
        </w:rPr>
      </w:pPr>
    </w:p>
    <w:p w14:paraId="09455E3C" w14:textId="77777777" w:rsidR="00992A82" w:rsidRPr="0080599F" w:rsidRDefault="00992A82">
      <w:pPr>
        <w:rPr>
          <w:rFonts w:cs="Times New Roman"/>
          <w:sz w:val="20"/>
          <w:szCs w:val="20"/>
          <w:lang w:val="de-DE"/>
        </w:rPr>
      </w:pPr>
    </w:p>
    <w:p w14:paraId="453CDA1F" w14:textId="77777777" w:rsidR="00992A82" w:rsidRPr="0080599F" w:rsidRDefault="00992A82">
      <w:pPr>
        <w:rPr>
          <w:rFonts w:cs="Times New Roman"/>
          <w:b/>
          <w:sz w:val="22"/>
          <w:u w:val="single"/>
          <w:lang w:val="de-DE"/>
        </w:rPr>
      </w:pPr>
      <w:r w:rsidRPr="0080599F">
        <w:rPr>
          <w:rFonts w:cs="Times New Roman"/>
          <w:b/>
          <w:sz w:val="22"/>
          <w:u w:val="single"/>
          <w:lang w:val="de-DE"/>
        </w:rPr>
        <w:t>Vom Verkäufer</w:t>
      </w:r>
    </w:p>
    <w:p w14:paraId="4A88A530" w14:textId="77777777" w:rsidR="00992A82" w:rsidRPr="0080599F" w:rsidRDefault="00006E38" w:rsidP="00006E38">
      <w:pPr>
        <w:pStyle w:val="Paragraphedeliste"/>
        <w:numPr>
          <w:ilvl w:val="0"/>
          <w:numId w:val="1"/>
        </w:numPr>
        <w:rPr>
          <w:rFonts w:cs="Times New Roman"/>
          <w:sz w:val="20"/>
          <w:szCs w:val="20"/>
          <w:lang w:val="de-DE"/>
        </w:rPr>
      </w:pPr>
      <w:r w:rsidRPr="0080599F">
        <w:rPr>
          <w:rFonts w:cs="Times New Roman"/>
          <w:sz w:val="20"/>
          <w:szCs w:val="20"/>
          <w:lang w:val="de-DE"/>
        </w:rPr>
        <w:t>Kaufvertrag oder Erwerb (Erbschaft …) des Hauses/Grundstücks oder Auszug aus dem Katasterregister des verkauften Gutes,</w:t>
      </w:r>
    </w:p>
    <w:p w14:paraId="7735F8AD" w14:textId="77777777" w:rsidR="0080599F" w:rsidRPr="0080599F" w:rsidRDefault="0080599F" w:rsidP="0080599F">
      <w:pPr>
        <w:pStyle w:val="Paragraphedeliste"/>
        <w:rPr>
          <w:rFonts w:cs="Times New Roman"/>
          <w:sz w:val="20"/>
          <w:szCs w:val="20"/>
          <w:lang w:val="de-DE"/>
        </w:rPr>
      </w:pPr>
    </w:p>
    <w:p w14:paraId="6C9207AC" w14:textId="77777777" w:rsidR="00006E38" w:rsidRPr="0080599F" w:rsidRDefault="00006E38" w:rsidP="00006E38">
      <w:pPr>
        <w:pStyle w:val="Paragraphedeliste"/>
        <w:numPr>
          <w:ilvl w:val="0"/>
          <w:numId w:val="1"/>
        </w:numPr>
        <w:rPr>
          <w:rFonts w:cs="Times New Roman"/>
          <w:sz w:val="20"/>
          <w:szCs w:val="20"/>
          <w:lang w:val="de-DE"/>
        </w:rPr>
      </w:pPr>
      <w:r w:rsidRPr="0080599F">
        <w:rPr>
          <w:rFonts w:cs="Times New Roman"/>
          <w:sz w:val="20"/>
          <w:szCs w:val="20"/>
          <w:lang w:val="de-DE"/>
        </w:rPr>
        <w:t>Angabe des Verkaufspreises,</w:t>
      </w:r>
    </w:p>
    <w:p w14:paraId="393D3105" w14:textId="77777777" w:rsidR="0080599F" w:rsidRPr="0080599F" w:rsidRDefault="0080599F" w:rsidP="0080599F">
      <w:pPr>
        <w:pStyle w:val="Paragraphedeliste"/>
        <w:rPr>
          <w:rFonts w:cs="Times New Roman"/>
          <w:sz w:val="20"/>
          <w:szCs w:val="20"/>
          <w:lang w:val="de-DE"/>
        </w:rPr>
      </w:pPr>
    </w:p>
    <w:p w14:paraId="7B8E5711" w14:textId="77777777" w:rsidR="00006E38" w:rsidRPr="0080599F" w:rsidRDefault="00006E38" w:rsidP="00006E38">
      <w:pPr>
        <w:pStyle w:val="Paragraphedeliste"/>
        <w:numPr>
          <w:ilvl w:val="0"/>
          <w:numId w:val="1"/>
        </w:numPr>
        <w:rPr>
          <w:rFonts w:cs="Times New Roman"/>
          <w:sz w:val="20"/>
          <w:szCs w:val="20"/>
          <w:lang w:val="de-DE"/>
        </w:rPr>
      </w:pPr>
      <w:r w:rsidRPr="0080599F">
        <w:rPr>
          <w:rFonts w:cs="Times New Roman"/>
          <w:sz w:val="20"/>
          <w:szCs w:val="20"/>
          <w:lang w:val="de-DE"/>
        </w:rPr>
        <w:t>Detaillierte Liste der verkauften Mobilien. Die Mobilien müssen, jedes Gut im Einzeln, abgeschätzt werden,</w:t>
      </w:r>
    </w:p>
    <w:p w14:paraId="1EAF279B" w14:textId="77777777" w:rsidR="0080599F" w:rsidRPr="0080599F" w:rsidRDefault="0080599F" w:rsidP="0080599F">
      <w:pPr>
        <w:pStyle w:val="Paragraphedeliste"/>
        <w:rPr>
          <w:rFonts w:cs="Times New Roman"/>
          <w:sz w:val="20"/>
          <w:szCs w:val="20"/>
          <w:lang w:val="de-DE"/>
        </w:rPr>
      </w:pPr>
    </w:p>
    <w:p w14:paraId="408F25AC" w14:textId="77777777" w:rsidR="00006E38" w:rsidRPr="0080599F" w:rsidRDefault="00006E38" w:rsidP="00006E38">
      <w:pPr>
        <w:pStyle w:val="Paragraphedeliste"/>
        <w:numPr>
          <w:ilvl w:val="0"/>
          <w:numId w:val="1"/>
        </w:numPr>
        <w:rPr>
          <w:rFonts w:cs="Times New Roman"/>
          <w:sz w:val="20"/>
          <w:szCs w:val="20"/>
          <w:lang w:val="de-DE"/>
        </w:rPr>
      </w:pPr>
      <w:r w:rsidRPr="0080599F">
        <w:rPr>
          <w:rFonts w:cs="Times New Roman"/>
          <w:sz w:val="20"/>
          <w:szCs w:val="20"/>
          <w:lang w:val="de-DE"/>
        </w:rPr>
        <w:t xml:space="preserve">Personenstand, wenn er nicht im Kaufvertrag steht oder wenn er sich geändert hat (Scheidung, PACS). Name, Vornamen, Beruf, Geburtsdatum und –Ort, Adresse, Ehedatum und –Ort, Datum und Name des Notars eines eventuell abgefassten Ehevertrags, Name und Vornamen der eventuell geschiedenen Ehepartner mit Datum der Scheidung und deren zuständiges Gericht, </w:t>
      </w:r>
    </w:p>
    <w:p w14:paraId="4EA51272" w14:textId="77777777" w:rsidR="0080599F" w:rsidRPr="0080599F" w:rsidRDefault="0080599F" w:rsidP="0080599F">
      <w:pPr>
        <w:pStyle w:val="Paragraphedeliste"/>
        <w:rPr>
          <w:rFonts w:cs="Times New Roman"/>
          <w:sz w:val="20"/>
          <w:szCs w:val="20"/>
          <w:lang w:val="de-DE"/>
        </w:rPr>
      </w:pPr>
    </w:p>
    <w:p w14:paraId="2DC18CE3" w14:textId="66A3481F" w:rsidR="00C96DA6" w:rsidRPr="0080599F" w:rsidRDefault="00006E38" w:rsidP="00C96DA6">
      <w:pPr>
        <w:pStyle w:val="Paragraphedeliste"/>
        <w:numPr>
          <w:ilvl w:val="0"/>
          <w:numId w:val="1"/>
        </w:numPr>
        <w:rPr>
          <w:rFonts w:cs="Times New Roman"/>
          <w:sz w:val="20"/>
          <w:szCs w:val="20"/>
          <w:lang w:val="de-DE"/>
        </w:rPr>
      </w:pPr>
      <w:r w:rsidRPr="0080599F">
        <w:rPr>
          <w:rFonts w:cs="Times New Roman"/>
          <w:sz w:val="20"/>
          <w:szCs w:val="20"/>
          <w:lang w:val="de-DE"/>
        </w:rPr>
        <w:t xml:space="preserve">Wenn das Gut außerhalb der Moselle gelegen ist: </w:t>
      </w:r>
      <w:r w:rsidRPr="0080599F">
        <w:rPr>
          <w:rFonts w:cs="Times New Roman"/>
          <w:sz w:val="20"/>
          <w:szCs w:val="20"/>
          <w:u w:val="single"/>
          <w:lang w:val="de-DE"/>
        </w:rPr>
        <w:t>Zustand der natürlichen und</w:t>
      </w:r>
      <w:r w:rsidRPr="0080599F">
        <w:rPr>
          <w:rFonts w:cs="Times New Roman"/>
          <w:sz w:val="20"/>
          <w:szCs w:val="20"/>
          <w:lang w:val="de-DE"/>
        </w:rPr>
        <w:t xml:space="preserve"> </w:t>
      </w:r>
      <w:r w:rsidRPr="0080599F">
        <w:rPr>
          <w:rFonts w:cs="Times New Roman"/>
          <w:sz w:val="20"/>
          <w:szCs w:val="20"/>
          <w:u w:val="single"/>
          <w:lang w:val="de-DE"/>
        </w:rPr>
        <w:t>technologischen Risiken</w:t>
      </w:r>
      <w:r w:rsidR="00C96DA6" w:rsidRPr="0080599F">
        <w:rPr>
          <w:rFonts w:cs="Times New Roman"/>
          <w:sz w:val="20"/>
          <w:szCs w:val="20"/>
          <w:lang w:val="de-DE"/>
        </w:rPr>
        <w:t xml:space="preserve"> und eventuell </w:t>
      </w:r>
      <w:r w:rsidR="00C96DA6" w:rsidRPr="0080599F">
        <w:rPr>
          <w:rFonts w:cs="Times New Roman"/>
          <w:sz w:val="20"/>
          <w:szCs w:val="20"/>
          <w:u w:val="single"/>
          <w:lang w:val="de-DE"/>
        </w:rPr>
        <w:t>parasitärer Zustand</w:t>
      </w:r>
      <w:r w:rsidR="00C96DA6" w:rsidRPr="0080599F">
        <w:rPr>
          <w:rFonts w:cs="Times New Roman"/>
          <w:sz w:val="20"/>
          <w:szCs w:val="20"/>
          <w:lang w:val="de-DE"/>
        </w:rPr>
        <w:t xml:space="preserve"> (je n</w:t>
      </w:r>
      <w:r w:rsidR="00AD0116">
        <w:rPr>
          <w:rFonts w:cs="Times New Roman"/>
          <w:sz w:val="20"/>
          <w:szCs w:val="20"/>
          <w:lang w:val="de-DE"/>
        </w:rPr>
        <w:t>a</w:t>
      </w:r>
      <w:r w:rsidR="00C96DA6" w:rsidRPr="0080599F">
        <w:rPr>
          <w:rFonts w:cs="Times New Roman"/>
          <w:sz w:val="20"/>
          <w:szCs w:val="20"/>
          <w:lang w:val="de-DE"/>
        </w:rPr>
        <w:t>ch de</w:t>
      </w:r>
      <w:r w:rsidR="00AD0116">
        <w:rPr>
          <w:rFonts w:cs="Times New Roman"/>
          <w:sz w:val="20"/>
          <w:szCs w:val="20"/>
          <w:lang w:val="de-DE"/>
        </w:rPr>
        <w:t>r</w:t>
      </w:r>
      <w:r w:rsidR="00C96DA6" w:rsidRPr="0080599F">
        <w:rPr>
          <w:rFonts w:cs="Times New Roman"/>
          <w:sz w:val="20"/>
          <w:szCs w:val="20"/>
          <w:lang w:val="de-DE"/>
        </w:rPr>
        <w:t xml:space="preserve"> Gegend, wo das verkauft Gut liegt und nur wenn es sich um ein Gebäude handelt)</w:t>
      </w:r>
      <w:r w:rsidR="0080599F" w:rsidRPr="0080599F">
        <w:rPr>
          <w:rFonts w:cs="Times New Roman"/>
          <w:sz w:val="20"/>
          <w:szCs w:val="20"/>
          <w:lang w:val="de-DE"/>
        </w:rPr>
        <w:t xml:space="preserve">. </w:t>
      </w:r>
      <w:r w:rsidR="00C96DA6" w:rsidRPr="0080599F">
        <w:rPr>
          <w:rFonts w:cs="Times New Roman"/>
          <w:sz w:val="20"/>
          <w:szCs w:val="20"/>
          <w:lang w:val="de-DE"/>
        </w:rPr>
        <w:t>Gültigkeitsdauer: 6 Monate.</w:t>
      </w:r>
    </w:p>
    <w:p w14:paraId="7546A266" w14:textId="77777777" w:rsidR="00C96DA6" w:rsidRPr="0080599F" w:rsidRDefault="00C96DA6" w:rsidP="00C96DA6">
      <w:pPr>
        <w:pStyle w:val="Paragraphedeliste"/>
        <w:rPr>
          <w:rFonts w:cs="Times New Roman"/>
          <w:sz w:val="20"/>
          <w:szCs w:val="20"/>
          <w:lang w:val="de-DE"/>
        </w:rPr>
      </w:pPr>
    </w:p>
    <w:p w14:paraId="31D11D44" w14:textId="77777777" w:rsidR="00C96DA6" w:rsidRPr="0080599F" w:rsidRDefault="00C96DA6" w:rsidP="00C96DA6">
      <w:pPr>
        <w:pStyle w:val="Paragraphedeliste"/>
        <w:rPr>
          <w:rFonts w:cs="Times New Roman"/>
          <w:b/>
          <w:sz w:val="20"/>
          <w:szCs w:val="20"/>
          <w:lang w:val="de-DE"/>
        </w:rPr>
      </w:pPr>
      <w:r w:rsidRPr="0080599F">
        <w:rPr>
          <w:rFonts w:cs="Times New Roman"/>
          <w:b/>
          <w:sz w:val="20"/>
          <w:szCs w:val="20"/>
          <w:lang w:val="de-DE"/>
        </w:rPr>
        <w:t>Wenn es sich um ein bebautes Grundstück handelt</w:t>
      </w:r>
    </w:p>
    <w:p w14:paraId="3E5C7712" w14:textId="77777777" w:rsidR="00C96DA6" w:rsidRPr="0080599F" w:rsidRDefault="00C96DA6" w:rsidP="00C96DA6">
      <w:pPr>
        <w:pStyle w:val="Paragraphedeliste"/>
        <w:numPr>
          <w:ilvl w:val="0"/>
          <w:numId w:val="3"/>
        </w:numPr>
        <w:ind w:left="426" w:firstLine="0"/>
        <w:rPr>
          <w:rFonts w:cs="Times New Roman"/>
          <w:sz w:val="20"/>
          <w:szCs w:val="20"/>
          <w:lang w:val="de-DE"/>
        </w:rPr>
      </w:pPr>
      <w:r w:rsidRPr="0080599F">
        <w:rPr>
          <w:rFonts w:cs="Times New Roman"/>
          <w:sz w:val="20"/>
          <w:szCs w:val="20"/>
          <w:lang w:val="de-DE"/>
        </w:rPr>
        <w:t>Wenn die Baugenehmigung des Gebäudes vor dem 1. Juli 1997 ausgestellt wurde:</w:t>
      </w:r>
    </w:p>
    <w:p w14:paraId="7C50BE4F" w14:textId="77777777" w:rsidR="00C96DA6" w:rsidRPr="0080599F" w:rsidRDefault="00C96DA6" w:rsidP="00C96DA6">
      <w:pPr>
        <w:pStyle w:val="Paragraphedeliste"/>
        <w:ind w:left="426"/>
        <w:rPr>
          <w:rFonts w:cs="Times New Roman"/>
          <w:sz w:val="20"/>
          <w:szCs w:val="20"/>
          <w:lang w:val="de-DE"/>
        </w:rPr>
      </w:pPr>
      <w:r w:rsidRPr="0080599F">
        <w:rPr>
          <w:rFonts w:cs="Times New Roman"/>
          <w:sz w:val="20"/>
          <w:szCs w:val="20"/>
          <w:lang w:val="de-DE"/>
        </w:rPr>
        <w:tab/>
      </w:r>
      <w:r w:rsidRPr="0080599F">
        <w:rPr>
          <w:rFonts w:cs="Times New Roman"/>
          <w:sz w:val="20"/>
          <w:szCs w:val="20"/>
          <w:u w:val="single"/>
          <w:lang w:val="de-DE"/>
        </w:rPr>
        <w:t>Eine Asbestdiagnose</w:t>
      </w:r>
      <w:r w:rsidRPr="0080599F">
        <w:rPr>
          <w:rFonts w:cs="Times New Roman"/>
          <w:sz w:val="20"/>
          <w:szCs w:val="20"/>
          <w:lang w:val="de-DE"/>
        </w:rPr>
        <w:t xml:space="preserve"> (es sei denn sie schon vorgenommen wurde. Dann einfach eine Kopie davon beifügen) </w:t>
      </w:r>
    </w:p>
    <w:p w14:paraId="40A1D58F" w14:textId="77777777" w:rsidR="00C96DA6" w:rsidRPr="0080599F" w:rsidRDefault="00C96DA6" w:rsidP="00C96DA6">
      <w:pPr>
        <w:ind w:left="720"/>
        <w:rPr>
          <w:rFonts w:cs="Times New Roman"/>
          <w:sz w:val="20"/>
          <w:szCs w:val="20"/>
          <w:lang w:val="de-DE"/>
        </w:rPr>
      </w:pPr>
      <w:r w:rsidRPr="0080599F">
        <w:rPr>
          <w:rFonts w:cs="Times New Roman"/>
          <w:sz w:val="20"/>
          <w:szCs w:val="20"/>
          <w:lang w:val="de-DE"/>
        </w:rPr>
        <w:t>Gültigkeitsdauer: unbegrenzt, muss aber nach dem 23. Mai 2003 ausgestellt worden sein.</w:t>
      </w:r>
    </w:p>
    <w:p w14:paraId="1B8AA857" w14:textId="77777777" w:rsidR="0080599F" w:rsidRPr="0080599F" w:rsidRDefault="0080599F" w:rsidP="00C96DA6">
      <w:pPr>
        <w:ind w:left="720"/>
        <w:rPr>
          <w:rFonts w:cs="Times New Roman"/>
          <w:sz w:val="20"/>
          <w:szCs w:val="20"/>
          <w:lang w:val="de-DE"/>
        </w:rPr>
      </w:pPr>
    </w:p>
    <w:p w14:paraId="3168DFD5" w14:textId="77777777" w:rsidR="00C96DA6" w:rsidRPr="0080599F" w:rsidRDefault="00C96DA6" w:rsidP="00C96DA6">
      <w:pPr>
        <w:pStyle w:val="Paragraphedeliste"/>
        <w:numPr>
          <w:ilvl w:val="0"/>
          <w:numId w:val="3"/>
        </w:numPr>
        <w:ind w:left="709" w:hanging="283"/>
        <w:rPr>
          <w:rFonts w:cs="Times New Roman"/>
          <w:sz w:val="20"/>
          <w:szCs w:val="20"/>
          <w:lang w:val="de-DE"/>
        </w:rPr>
      </w:pPr>
      <w:r w:rsidRPr="0080599F">
        <w:rPr>
          <w:rFonts w:cs="Times New Roman"/>
          <w:sz w:val="20"/>
          <w:szCs w:val="20"/>
          <w:lang w:val="de-DE"/>
        </w:rPr>
        <w:t>Wenn die Baugenehmigung des zum Wohnbrauch Gebäudes vor dem 1. Januar 1949 ausgestellt wurde:</w:t>
      </w:r>
    </w:p>
    <w:p w14:paraId="1F5FBA22" w14:textId="77777777" w:rsidR="00F02AB1" w:rsidRPr="0080599F" w:rsidRDefault="00C96DA6" w:rsidP="00C96DA6">
      <w:pPr>
        <w:pStyle w:val="Paragraphedeliste"/>
        <w:ind w:left="709"/>
        <w:rPr>
          <w:rFonts w:cs="Times New Roman"/>
          <w:sz w:val="20"/>
          <w:szCs w:val="20"/>
          <w:u w:val="single"/>
          <w:lang w:val="de-DE"/>
        </w:rPr>
      </w:pPr>
      <w:r w:rsidRPr="0080599F">
        <w:rPr>
          <w:rFonts w:cs="Times New Roman"/>
          <w:sz w:val="20"/>
          <w:szCs w:val="20"/>
          <w:u w:val="single"/>
          <w:lang w:val="de-DE"/>
        </w:rPr>
        <w:t>Eine Bleigefährdungsrisikofeststellung</w:t>
      </w:r>
    </w:p>
    <w:p w14:paraId="36747654" w14:textId="77777777" w:rsidR="00C96DA6" w:rsidRPr="0080599F" w:rsidRDefault="00F02AB1" w:rsidP="00C96DA6">
      <w:pPr>
        <w:pStyle w:val="Paragraphedeliste"/>
        <w:ind w:left="709"/>
        <w:rPr>
          <w:rFonts w:cs="Times New Roman"/>
          <w:sz w:val="20"/>
          <w:szCs w:val="20"/>
          <w:lang w:val="de-DE"/>
        </w:rPr>
      </w:pPr>
      <w:r w:rsidRPr="0080599F">
        <w:rPr>
          <w:rFonts w:cs="Times New Roman"/>
          <w:sz w:val="20"/>
          <w:szCs w:val="20"/>
          <w:lang w:val="de-DE"/>
        </w:rPr>
        <w:t>Gültigkeitsdauer: ein Jahr, es sei denn Blei wäre nicht vorhanden oder seine Konzentration wäre unter den von der Verordnung vom 26.04.06 festgesetzten Grenzen (dann unbegrenzte Gültigkeitsdauer)</w:t>
      </w:r>
    </w:p>
    <w:p w14:paraId="2CEC5566" w14:textId="77777777" w:rsidR="0080599F" w:rsidRPr="0080599F" w:rsidRDefault="0080599F" w:rsidP="00C96DA6">
      <w:pPr>
        <w:pStyle w:val="Paragraphedeliste"/>
        <w:ind w:left="709"/>
        <w:rPr>
          <w:rFonts w:cs="Times New Roman"/>
          <w:sz w:val="20"/>
          <w:szCs w:val="20"/>
          <w:lang w:val="de-DE"/>
        </w:rPr>
      </w:pPr>
    </w:p>
    <w:p w14:paraId="0194FE94" w14:textId="77777777" w:rsidR="00F02AB1" w:rsidRPr="0080599F" w:rsidRDefault="00F02AB1" w:rsidP="00F02AB1">
      <w:pPr>
        <w:pStyle w:val="Paragraphedeliste"/>
        <w:numPr>
          <w:ilvl w:val="0"/>
          <w:numId w:val="3"/>
        </w:numPr>
        <w:ind w:left="709"/>
        <w:rPr>
          <w:rFonts w:cs="Times New Roman"/>
          <w:sz w:val="20"/>
          <w:szCs w:val="20"/>
          <w:lang w:val="de-DE"/>
        </w:rPr>
      </w:pPr>
      <w:r w:rsidRPr="0080599F">
        <w:rPr>
          <w:rFonts w:cs="Times New Roman"/>
          <w:sz w:val="20"/>
          <w:szCs w:val="20"/>
          <w:lang w:val="de-DE"/>
        </w:rPr>
        <w:t>Wenn es sich um den Verkauf eines Miteigentums handelt (Wohnung oder anderes Lokal) :</w:t>
      </w:r>
    </w:p>
    <w:p w14:paraId="4BF7230C" w14:textId="77777777" w:rsidR="00F02AB1" w:rsidRPr="0080599F" w:rsidRDefault="00F02AB1" w:rsidP="00F02AB1">
      <w:pPr>
        <w:pStyle w:val="Paragraphedeliste"/>
        <w:ind w:left="709"/>
        <w:rPr>
          <w:rFonts w:cs="Times New Roman"/>
          <w:sz w:val="20"/>
          <w:szCs w:val="20"/>
          <w:lang w:val="de-DE"/>
        </w:rPr>
      </w:pPr>
      <w:r w:rsidRPr="0080599F">
        <w:rPr>
          <w:rFonts w:cs="Times New Roman"/>
          <w:sz w:val="20"/>
          <w:szCs w:val="20"/>
          <w:lang w:val="de-DE"/>
        </w:rPr>
        <w:t>- Gesetz Carrez (Vermessung der Fläche des verkauften Gutes) – Gültigkeitsdauer: unbegrenzt,</w:t>
      </w:r>
    </w:p>
    <w:p w14:paraId="63084E70" w14:textId="77777777" w:rsidR="00F02AB1" w:rsidRPr="0080599F" w:rsidRDefault="00F02AB1" w:rsidP="00F02AB1">
      <w:pPr>
        <w:pStyle w:val="Paragraphedeliste"/>
        <w:ind w:left="709"/>
        <w:rPr>
          <w:rFonts w:cs="Times New Roman"/>
          <w:sz w:val="20"/>
          <w:szCs w:val="20"/>
          <w:lang w:val="de-DE"/>
        </w:rPr>
      </w:pPr>
      <w:r w:rsidRPr="0080599F">
        <w:rPr>
          <w:rFonts w:cs="Times New Roman"/>
          <w:sz w:val="20"/>
          <w:szCs w:val="20"/>
          <w:lang w:val="de-DE"/>
        </w:rPr>
        <w:t>- Name und Adresse des Hausverwalters,</w:t>
      </w:r>
    </w:p>
    <w:p w14:paraId="50B60424" w14:textId="77777777" w:rsidR="00F02AB1" w:rsidRPr="0080599F" w:rsidRDefault="00F02AB1" w:rsidP="00F02AB1">
      <w:pPr>
        <w:pStyle w:val="Paragraphedeliste"/>
        <w:ind w:left="709"/>
        <w:rPr>
          <w:rFonts w:cs="Times New Roman"/>
          <w:sz w:val="20"/>
          <w:szCs w:val="20"/>
          <w:lang w:val="de-DE"/>
        </w:rPr>
      </w:pPr>
      <w:r w:rsidRPr="0080599F">
        <w:rPr>
          <w:rFonts w:cs="Times New Roman"/>
          <w:sz w:val="20"/>
          <w:szCs w:val="20"/>
          <w:lang w:val="de-DE"/>
        </w:rPr>
        <w:t>- Kopie des Berichts der letzten Versammlung der Miteigentümer,</w:t>
      </w:r>
    </w:p>
    <w:p w14:paraId="71C9B0AB" w14:textId="77777777" w:rsidR="00F02AB1" w:rsidRPr="0080599F" w:rsidRDefault="00F02AB1" w:rsidP="00F02AB1">
      <w:pPr>
        <w:pStyle w:val="Paragraphedeliste"/>
        <w:ind w:left="709"/>
        <w:rPr>
          <w:rFonts w:cs="Times New Roman"/>
          <w:sz w:val="20"/>
          <w:szCs w:val="20"/>
          <w:lang w:val="de-DE"/>
        </w:rPr>
      </w:pPr>
    </w:p>
    <w:p w14:paraId="618B76EC" w14:textId="1D2F348A" w:rsidR="00F02AB1" w:rsidRPr="0080599F" w:rsidRDefault="00F02AB1" w:rsidP="00F02AB1">
      <w:pPr>
        <w:pStyle w:val="Paragraphedeliste"/>
        <w:numPr>
          <w:ilvl w:val="0"/>
          <w:numId w:val="3"/>
        </w:numPr>
        <w:ind w:left="709"/>
        <w:rPr>
          <w:rFonts w:cs="Times New Roman"/>
          <w:sz w:val="20"/>
          <w:szCs w:val="20"/>
          <w:lang w:val="de-DE"/>
        </w:rPr>
      </w:pPr>
      <w:r w:rsidRPr="0080599F">
        <w:rPr>
          <w:rFonts w:cs="Times New Roman"/>
          <w:sz w:val="20"/>
          <w:szCs w:val="20"/>
          <w:u w:val="single"/>
          <w:lang w:val="de-DE"/>
        </w:rPr>
        <w:t>Energieleistungsdiagnose</w:t>
      </w:r>
      <w:r w:rsidRPr="0080599F">
        <w:rPr>
          <w:rFonts w:cs="Times New Roman"/>
          <w:sz w:val="20"/>
          <w:szCs w:val="20"/>
          <w:lang w:val="de-DE"/>
        </w:rPr>
        <w:t xml:space="preserve"> (es sei denn, dass es sich um</w:t>
      </w:r>
      <w:r w:rsidR="00AD0116">
        <w:rPr>
          <w:rFonts w:cs="Times New Roman"/>
          <w:sz w:val="20"/>
          <w:szCs w:val="20"/>
          <w:lang w:val="de-DE"/>
        </w:rPr>
        <w:t xml:space="preserve"> ein</w:t>
      </w:r>
      <w:r w:rsidRPr="0080599F">
        <w:rPr>
          <w:rFonts w:cs="Times New Roman"/>
          <w:sz w:val="20"/>
          <w:szCs w:val="20"/>
          <w:lang w:val="de-DE"/>
        </w:rPr>
        <w:t xml:space="preserve"> unabhängige</w:t>
      </w:r>
      <w:r w:rsidR="00AD0116">
        <w:rPr>
          <w:rFonts w:cs="Times New Roman"/>
          <w:sz w:val="20"/>
          <w:szCs w:val="20"/>
          <w:lang w:val="de-DE"/>
        </w:rPr>
        <w:t>s</w:t>
      </w:r>
      <w:r w:rsidRPr="0080599F">
        <w:rPr>
          <w:rFonts w:cs="Times New Roman"/>
          <w:sz w:val="20"/>
          <w:szCs w:val="20"/>
          <w:lang w:val="de-DE"/>
        </w:rPr>
        <w:t xml:space="preserve"> Gebäude von weniger als 50 m² Fläche, um Gebäude zum landwirtschaft</w:t>
      </w:r>
      <w:r w:rsidR="00207FD0" w:rsidRPr="0080599F">
        <w:rPr>
          <w:rFonts w:cs="Times New Roman"/>
          <w:sz w:val="20"/>
          <w:szCs w:val="20"/>
          <w:lang w:val="de-DE"/>
        </w:rPr>
        <w:t>lichen, handwerklichen, industriellen Zweck, die nur wenig Energie verbrauchen</w:t>
      </w:r>
      <w:r w:rsidR="00AD0116">
        <w:rPr>
          <w:rFonts w:cs="Times New Roman"/>
          <w:sz w:val="20"/>
          <w:szCs w:val="20"/>
          <w:lang w:val="de-DE"/>
        </w:rPr>
        <w:t>,</w:t>
      </w:r>
      <w:r w:rsidR="00207FD0" w:rsidRPr="0080599F">
        <w:rPr>
          <w:rFonts w:cs="Times New Roman"/>
          <w:sz w:val="20"/>
          <w:szCs w:val="20"/>
          <w:lang w:val="de-DE"/>
        </w:rPr>
        <w:t xml:space="preserve"> handelt, diese sind dann von dieser letzten Diagnose befreit).</w:t>
      </w:r>
    </w:p>
    <w:p w14:paraId="3E5E1DAB" w14:textId="77777777" w:rsidR="005D2A2B" w:rsidRPr="0080599F" w:rsidRDefault="00207FD0" w:rsidP="00207FD0">
      <w:pPr>
        <w:pStyle w:val="Paragraphedeliste"/>
        <w:ind w:left="709"/>
        <w:jc w:val="both"/>
        <w:rPr>
          <w:rFonts w:cs="Times New Roman"/>
          <w:sz w:val="20"/>
          <w:szCs w:val="20"/>
          <w:lang w:val="de-DE"/>
        </w:rPr>
      </w:pPr>
      <w:r w:rsidRPr="0080599F">
        <w:rPr>
          <w:rFonts w:cs="Times New Roman"/>
          <w:sz w:val="20"/>
          <w:szCs w:val="20"/>
          <w:lang w:val="de-DE"/>
        </w:rPr>
        <w:t xml:space="preserve">Gültigkeitsdauer: 10 Jahre unter der Bedingung, dass keine Umänderung des Gebäudes oder der gemeinschaftlichen Einrichtungen, die die Gültigkeit der Diagnose beeinträchtigen </w:t>
      </w:r>
      <w:r w:rsidR="005D2A2B" w:rsidRPr="0080599F">
        <w:rPr>
          <w:rFonts w:cs="Times New Roman"/>
          <w:sz w:val="20"/>
          <w:szCs w:val="20"/>
          <w:lang w:val="de-DE"/>
        </w:rPr>
        <w:t>könnte, vorgenommen worden ist</w:t>
      </w:r>
    </w:p>
    <w:p w14:paraId="3BA4EC1C" w14:textId="77777777" w:rsidR="0080599F" w:rsidRPr="0080599F" w:rsidRDefault="0080599F" w:rsidP="00207FD0">
      <w:pPr>
        <w:pStyle w:val="Paragraphedeliste"/>
        <w:ind w:left="709"/>
        <w:jc w:val="both"/>
        <w:rPr>
          <w:rFonts w:cs="Times New Roman"/>
          <w:sz w:val="20"/>
          <w:szCs w:val="20"/>
          <w:lang w:val="de-DE"/>
        </w:rPr>
      </w:pPr>
    </w:p>
    <w:p w14:paraId="4102B07C" w14:textId="77777777" w:rsidR="00207FD0" w:rsidRPr="0080599F" w:rsidRDefault="005D2A2B" w:rsidP="005D2A2B">
      <w:pPr>
        <w:pStyle w:val="Paragraphedeliste"/>
        <w:numPr>
          <w:ilvl w:val="0"/>
          <w:numId w:val="3"/>
        </w:numPr>
        <w:ind w:left="851"/>
        <w:jc w:val="both"/>
        <w:rPr>
          <w:rFonts w:cs="Times New Roman"/>
          <w:sz w:val="20"/>
          <w:szCs w:val="20"/>
          <w:lang w:val="de-DE"/>
        </w:rPr>
      </w:pPr>
      <w:r w:rsidRPr="0080599F">
        <w:rPr>
          <w:rFonts w:cs="Times New Roman"/>
          <w:sz w:val="20"/>
          <w:szCs w:val="20"/>
          <w:lang w:val="de-DE"/>
        </w:rPr>
        <w:t>Für ein Wohnhaus, worin eine über 15 Jahre alte innere Gaseinrichtung besteht:</w:t>
      </w:r>
    </w:p>
    <w:p w14:paraId="1F39555F" w14:textId="36FF416A" w:rsidR="005D2A2B" w:rsidRPr="0080599F" w:rsidRDefault="005D2A2B" w:rsidP="005D2A2B">
      <w:pPr>
        <w:pStyle w:val="Paragraphedeliste"/>
        <w:ind w:left="851"/>
        <w:jc w:val="both"/>
        <w:rPr>
          <w:rFonts w:cs="Times New Roman"/>
          <w:sz w:val="20"/>
          <w:szCs w:val="20"/>
          <w:lang w:val="de-DE"/>
        </w:rPr>
      </w:pPr>
      <w:r w:rsidRPr="0080599F">
        <w:rPr>
          <w:rFonts w:cs="Times New Roman"/>
          <w:sz w:val="20"/>
          <w:szCs w:val="20"/>
          <w:u w:val="single"/>
          <w:lang w:val="de-DE"/>
        </w:rPr>
        <w:t>Zustand der inneren Gaseinrichtung</w:t>
      </w:r>
      <w:r w:rsidRPr="0080599F">
        <w:rPr>
          <w:rFonts w:cs="Times New Roman"/>
          <w:sz w:val="20"/>
          <w:szCs w:val="20"/>
          <w:lang w:val="de-DE"/>
        </w:rPr>
        <w:t xml:space="preserve"> (es sei denn es gäbe einen Güteprüfschein</w:t>
      </w:r>
      <w:r w:rsidR="00AD0116">
        <w:rPr>
          <w:rFonts w:cs="Times New Roman"/>
          <w:sz w:val="20"/>
          <w:szCs w:val="20"/>
          <w:lang w:val="de-DE"/>
        </w:rPr>
        <w:t xml:space="preserve"> von einem vom Industrieminister</w:t>
      </w:r>
      <w:r w:rsidRPr="0080599F">
        <w:rPr>
          <w:rFonts w:cs="Times New Roman"/>
          <w:sz w:val="20"/>
          <w:szCs w:val="20"/>
          <w:lang w:val="de-DE"/>
        </w:rPr>
        <w:t xml:space="preserve"> genehmigten Experten und der von weniger als 3 Jahre her stammt)</w:t>
      </w:r>
      <w:r w:rsidR="0080599F">
        <w:rPr>
          <w:rFonts w:cs="Times New Roman"/>
          <w:sz w:val="20"/>
          <w:szCs w:val="20"/>
          <w:lang w:val="de-DE"/>
        </w:rPr>
        <w:t xml:space="preserve">. </w:t>
      </w:r>
      <w:r w:rsidRPr="0080599F">
        <w:rPr>
          <w:rFonts w:cs="Times New Roman"/>
          <w:sz w:val="20"/>
          <w:szCs w:val="20"/>
          <w:lang w:val="de-DE"/>
        </w:rPr>
        <w:t>Gültigkeitsdauer: 3 Jahre</w:t>
      </w:r>
    </w:p>
    <w:p w14:paraId="758CEC8F" w14:textId="77777777" w:rsidR="0080599F" w:rsidRPr="0080599F" w:rsidRDefault="0080599F" w:rsidP="005D2A2B">
      <w:pPr>
        <w:pStyle w:val="Paragraphedeliste"/>
        <w:ind w:left="851"/>
        <w:jc w:val="both"/>
        <w:rPr>
          <w:rFonts w:cs="Times New Roman"/>
          <w:sz w:val="20"/>
          <w:szCs w:val="20"/>
          <w:lang w:val="de-DE"/>
        </w:rPr>
      </w:pPr>
    </w:p>
    <w:p w14:paraId="3A5C1BFE" w14:textId="38282B14" w:rsidR="0080599F" w:rsidRPr="0080599F" w:rsidRDefault="0080599F" w:rsidP="0080599F">
      <w:pPr>
        <w:pStyle w:val="Paragraphedeliste"/>
        <w:numPr>
          <w:ilvl w:val="0"/>
          <w:numId w:val="3"/>
        </w:numPr>
        <w:ind w:left="851"/>
        <w:jc w:val="both"/>
        <w:rPr>
          <w:rFonts w:cs="Times New Roman"/>
          <w:sz w:val="20"/>
          <w:szCs w:val="20"/>
          <w:lang w:val="de-DE"/>
        </w:rPr>
      </w:pPr>
      <w:r w:rsidRPr="0080599F">
        <w:rPr>
          <w:rFonts w:cs="Times New Roman"/>
          <w:sz w:val="20"/>
          <w:szCs w:val="20"/>
          <w:lang w:val="de-DE"/>
        </w:rPr>
        <w:t>Für ein Wohnhaus, worin eine über 15 Jahre alt</w:t>
      </w:r>
      <w:r w:rsidR="00AD0116">
        <w:rPr>
          <w:rFonts w:cs="Times New Roman"/>
          <w:sz w:val="20"/>
          <w:szCs w:val="20"/>
          <w:lang w:val="de-DE"/>
        </w:rPr>
        <w:t>e</w:t>
      </w:r>
      <w:r w:rsidRPr="0080599F">
        <w:rPr>
          <w:rFonts w:cs="Times New Roman"/>
          <w:sz w:val="20"/>
          <w:szCs w:val="20"/>
          <w:lang w:val="de-DE"/>
        </w:rPr>
        <w:t xml:space="preserve"> innere elektrische Einrichtung besteht: </w:t>
      </w:r>
      <w:r w:rsidRPr="0080599F">
        <w:rPr>
          <w:rFonts w:cs="Times New Roman"/>
          <w:sz w:val="20"/>
          <w:szCs w:val="20"/>
          <w:u w:val="single"/>
          <w:lang w:val="de-DE"/>
        </w:rPr>
        <w:t>Zustand der inneren elektrischen Einrichtung</w:t>
      </w:r>
      <w:r w:rsidRPr="0080599F">
        <w:rPr>
          <w:rFonts w:cs="Times New Roman"/>
          <w:sz w:val="20"/>
          <w:szCs w:val="20"/>
          <w:lang w:val="de-DE"/>
        </w:rPr>
        <w:t xml:space="preserve"> (es sei denn es gäbe einen</w:t>
      </w:r>
      <w:r w:rsidR="00AD0116">
        <w:rPr>
          <w:rFonts w:cs="Times New Roman"/>
          <w:sz w:val="20"/>
          <w:szCs w:val="20"/>
          <w:lang w:val="de-DE"/>
        </w:rPr>
        <w:t xml:space="preserve"> Güteprüfschein von einem vom Industrieminister</w:t>
      </w:r>
      <w:bookmarkStart w:id="0" w:name="_GoBack"/>
      <w:bookmarkEnd w:id="0"/>
      <w:r w:rsidRPr="0080599F">
        <w:rPr>
          <w:rFonts w:cs="Times New Roman"/>
          <w:sz w:val="20"/>
          <w:szCs w:val="20"/>
          <w:lang w:val="de-DE"/>
        </w:rPr>
        <w:t xml:space="preserve"> genehmigten Experten und der von weniger als 3 Jahre her stammt). Gültigkeitsdauer: 3 Jahre</w:t>
      </w:r>
    </w:p>
    <w:p w14:paraId="7AAAA46E" w14:textId="77777777" w:rsidR="005D2A2B" w:rsidRPr="0080599F" w:rsidRDefault="005D2A2B" w:rsidP="005D2A2B">
      <w:pPr>
        <w:pStyle w:val="Paragraphedeliste"/>
        <w:ind w:left="851"/>
        <w:jc w:val="both"/>
        <w:rPr>
          <w:rFonts w:cs="Times New Roman"/>
          <w:sz w:val="20"/>
          <w:szCs w:val="20"/>
          <w:lang w:val="de-DE"/>
        </w:rPr>
      </w:pPr>
    </w:p>
    <w:p w14:paraId="7F7302E6" w14:textId="77777777" w:rsidR="005D2A2B" w:rsidRPr="0080599F" w:rsidRDefault="005D2A2B" w:rsidP="005D2A2B">
      <w:pPr>
        <w:pStyle w:val="Paragraphedeliste"/>
        <w:numPr>
          <w:ilvl w:val="0"/>
          <w:numId w:val="3"/>
        </w:numPr>
        <w:ind w:left="851"/>
        <w:jc w:val="both"/>
        <w:rPr>
          <w:rFonts w:cs="Times New Roman"/>
          <w:sz w:val="20"/>
          <w:szCs w:val="20"/>
          <w:lang w:val="de-DE"/>
        </w:rPr>
      </w:pPr>
      <w:r w:rsidRPr="0080599F">
        <w:rPr>
          <w:rFonts w:cs="Times New Roman"/>
          <w:sz w:val="20"/>
          <w:szCs w:val="20"/>
          <w:lang w:val="de-DE"/>
        </w:rPr>
        <w:t>Für ein Wohnhaus, das nicht am öffentlichen Entsorgungsnetz angeschlossen ist:</w:t>
      </w:r>
    </w:p>
    <w:p w14:paraId="7A4323F8" w14:textId="77777777" w:rsidR="0080599F" w:rsidRPr="0080599F" w:rsidRDefault="005D2A2B" w:rsidP="005D2A2B">
      <w:pPr>
        <w:pStyle w:val="Paragraphedeliste"/>
        <w:ind w:left="851"/>
        <w:jc w:val="both"/>
        <w:rPr>
          <w:rFonts w:cs="Times New Roman"/>
          <w:b/>
          <w:sz w:val="20"/>
          <w:szCs w:val="20"/>
          <w:lang w:val="de-DE"/>
        </w:rPr>
      </w:pPr>
      <w:r w:rsidRPr="0080599F">
        <w:rPr>
          <w:rFonts w:cs="Times New Roman"/>
          <w:b/>
          <w:sz w:val="20"/>
          <w:szCs w:val="20"/>
          <w:lang w:val="de-DE"/>
        </w:rPr>
        <w:t xml:space="preserve">Sanierungsdiagnose </w:t>
      </w:r>
    </w:p>
    <w:p w14:paraId="7CC7C904" w14:textId="77777777" w:rsidR="005D2A2B" w:rsidRPr="0080599F" w:rsidRDefault="005D2A2B" w:rsidP="005D2A2B">
      <w:pPr>
        <w:pStyle w:val="Paragraphedeliste"/>
        <w:ind w:left="851"/>
        <w:jc w:val="both"/>
        <w:rPr>
          <w:rFonts w:cs="Times New Roman"/>
          <w:sz w:val="20"/>
          <w:szCs w:val="20"/>
          <w:lang w:val="de-DE"/>
        </w:rPr>
      </w:pPr>
      <w:r w:rsidRPr="0080599F">
        <w:rPr>
          <w:rFonts w:cs="Times New Roman"/>
          <w:sz w:val="20"/>
          <w:szCs w:val="20"/>
          <w:lang w:val="de-DE"/>
        </w:rPr>
        <w:t>Gültigkeitsdauer: 3 Jahre (der öffentliche Dienst für Sanierung der Gemeinde ist allein für diese Diagnose zuständig)</w:t>
      </w:r>
    </w:p>
    <w:p w14:paraId="17779C43" w14:textId="77777777" w:rsidR="0080599F" w:rsidRPr="0080599F" w:rsidRDefault="0080599F" w:rsidP="005D2A2B">
      <w:pPr>
        <w:pStyle w:val="Paragraphedeliste"/>
        <w:ind w:left="851"/>
        <w:jc w:val="both"/>
        <w:rPr>
          <w:rFonts w:cs="Times New Roman"/>
          <w:sz w:val="20"/>
          <w:szCs w:val="20"/>
          <w:lang w:val="de-DE"/>
        </w:rPr>
      </w:pPr>
    </w:p>
    <w:p w14:paraId="62B268EA" w14:textId="77777777" w:rsidR="005D2A2B" w:rsidRPr="0080599F" w:rsidRDefault="005D2A2B" w:rsidP="005D2A2B">
      <w:pPr>
        <w:pStyle w:val="Paragraphedeliste"/>
        <w:numPr>
          <w:ilvl w:val="0"/>
          <w:numId w:val="3"/>
        </w:numPr>
        <w:ind w:left="851"/>
        <w:jc w:val="both"/>
        <w:rPr>
          <w:rFonts w:cs="Times New Roman"/>
          <w:sz w:val="20"/>
          <w:szCs w:val="20"/>
          <w:lang w:val="de-DE"/>
        </w:rPr>
      </w:pPr>
      <w:r w:rsidRPr="0080599F">
        <w:rPr>
          <w:rFonts w:cs="Times New Roman"/>
          <w:sz w:val="20"/>
          <w:szCs w:val="20"/>
          <w:lang w:val="de-DE"/>
        </w:rPr>
        <w:t>Kopie der letzten Quittung der Feuerversicherung (es sei denn es handelt sich um den Verkauf einer Miteigentumswohnung)</w:t>
      </w:r>
    </w:p>
    <w:p w14:paraId="716FCA26" w14:textId="77777777" w:rsidR="0080599F" w:rsidRPr="0080599F" w:rsidRDefault="0080599F" w:rsidP="0080599F">
      <w:pPr>
        <w:pStyle w:val="Paragraphedeliste"/>
        <w:ind w:left="851"/>
        <w:jc w:val="both"/>
        <w:rPr>
          <w:rFonts w:cs="Times New Roman"/>
          <w:sz w:val="20"/>
          <w:szCs w:val="20"/>
          <w:lang w:val="de-DE"/>
        </w:rPr>
      </w:pPr>
    </w:p>
    <w:p w14:paraId="68AAF848" w14:textId="77777777" w:rsidR="005D2A2B" w:rsidRPr="0080599F" w:rsidRDefault="005D2A2B" w:rsidP="005D2A2B">
      <w:pPr>
        <w:pStyle w:val="Paragraphedeliste"/>
        <w:numPr>
          <w:ilvl w:val="0"/>
          <w:numId w:val="3"/>
        </w:numPr>
        <w:ind w:left="851"/>
        <w:jc w:val="both"/>
        <w:rPr>
          <w:rFonts w:cs="Times New Roman"/>
          <w:sz w:val="20"/>
          <w:szCs w:val="20"/>
          <w:lang w:val="de-DE"/>
        </w:rPr>
      </w:pPr>
      <w:r w:rsidRPr="0080599F">
        <w:rPr>
          <w:rFonts w:cs="Times New Roman"/>
          <w:sz w:val="20"/>
          <w:szCs w:val="20"/>
          <w:lang w:val="de-DE"/>
        </w:rPr>
        <w:t>Die Bescheinigung der Bankverbindungen mit Ihrer Unterschrift, wenn Sie eine Zahlung durch Überweisung wünschen</w:t>
      </w:r>
    </w:p>
    <w:p w14:paraId="0203D254" w14:textId="77777777" w:rsidR="005D2A2B" w:rsidRPr="0080599F" w:rsidRDefault="005D2A2B" w:rsidP="005D2A2B">
      <w:pPr>
        <w:pStyle w:val="Paragraphedeliste"/>
        <w:ind w:left="851"/>
        <w:jc w:val="both"/>
        <w:rPr>
          <w:rFonts w:cs="Times New Roman"/>
          <w:sz w:val="20"/>
          <w:szCs w:val="20"/>
          <w:lang w:val="de-DE"/>
        </w:rPr>
      </w:pPr>
    </w:p>
    <w:p w14:paraId="67A890C4" w14:textId="77777777" w:rsidR="005D2A2B" w:rsidRPr="0080599F" w:rsidRDefault="005D2A2B" w:rsidP="005D2A2B">
      <w:pPr>
        <w:pStyle w:val="Paragraphedeliste"/>
        <w:ind w:left="851"/>
        <w:jc w:val="both"/>
        <w:rPr>
          <w:rFonts w:cs="Times New Roman"/>
          <w:b/>
          <w:sz w:val="20"/>
          <w:szCs w:val="20"/>
          <w:u w:val="single"/>
          <w:lang w:val="de-DE"/>
        </w:rPr>
      </w:pPr>
      <w:r w:rsidRPr="0080599F">
        <w:rPr>
          <w:rFonts w:cs="Times New Roman"/>
          <w:b/>
          <w:sz w:val="20"/>
          <w:szCs w:val="20"/>
          <w:u w:val="single"/>
          <w:lang w:val="de-DE"/>
        </w:rPr>
        <w:t>Vom Käufer</w:t>
      </w:r>
    </w:p>
    <w:p w14:paraId="48C6AE82" w14:textId="77777777" w:rsidR="00F02AB1" w:rsidRPr="0080599F" w:rsidRDefault="005D2A2B" w:rsidP="00F02AB1">
      <w:pPr>
        <w:pStyle w:val="Paragraphedeliste"/>
        <w:numPr>
          <w:ilvl w:val="0"/>
          <w:numId w:val="1"/>
        </w:numPr>
        <w:ind w:left="709"/>
        <w:rPr>
          <w:rFonts w:cs="Times New Roman"/>
          <w:sz w:val="20"/>
          <w:szCs w:val="20"/>
          <w:lang w:val="de-DE"/>
        </w:rPr>
      </w:pPr>
      <w:r w:rsidRPr="0080599F">
        <w:rPr>
          <w:rFonts w:cs="Times New Roman"/>
          <w:sz w:val="20"/>
          <w:szCs w:val="20"/>
          <w:lang w:val="de-DE"/>
        </w:rPr>
        <w:t xml:space="preserve">Ausführlicher Personalstand: Name, Vornamen, Beruf, Geburtsdatum und –Ort, Adresse, Ehedatum und –Ort, </w:t>
      </w:r>
      <w:r w:rsidR="0080599F" w:rsidRPr="0080599F">
        <w:rPr>
          <w:rFonts w:cs="Times New Roman"/>
          <w:sz w:val="20"/>
          <w:szCs w:val="20"/>
          <w:lang w:val="de-DE"/>
        </w:rPr>
        <w:t>Datum und Name des Notars eines eventuell abgefassten Ehevertrags, Name und Vornamen der eventuell geschiedenen Ehepartner mit Datum der Scheidung und deren zuständiges Gericht.</w:t>
      </w:r>
      <w:r w:rsidR="00DA6534">
        <w:rPr>
          <w:rFonts w:cs="Times New Roman"/>
          <w:sz w:val="20"/>
          <w:szCs w:val="20"/>
          <w:lang w:val="de-DE"/>
        </w:rPr>
        <w:t xml:space="preserve"> </w:t>
      </w:r>
    </w:p>
    <w:sectPr w:rsidR="00F02AB1" w:rsidRPr="0080599F" w:rsidSect="0080599F">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C6"/>
    <w:multiLevelType w:val="hybridMultilevel"/>
    <w:tmpl w:val="CE66C7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4511EBE"/>
    <w:multiLevelType w:val="hybridMultilevel"/>
    <w:tmpl w:val="3F0C2E4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4BD6D76"/>
    <w:multiLevelType w:val="hybridMultilevel"/>
    <w:tmpl w:val="0EC4E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44186E"/>
    <w:multiLevelType w:val="hybridMultilevel"/>
    <w:tmpl w:val="CEDC43A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92A82"/>
    <w:rsid w:val="00006E38"/>
    <w:rsid w:val="00055112"/>
    <w:rsid w:val="00100FA1"/>
    <w:rsid w:val="00102409"/>
    <w:rsid w:val="00164506"/>
    <w:rsid w:val="0018648A"/>
    <w:rsid w:val="001E2473"/>
    <w:rsid w:val="00207FD0"/>
    <w:rsid w:val="00290FCB"/>
    <w:rsid w:val="003108C2"/>
    <w:rsid w:val="00337468"/>
    <w:rsid w:val="003569FF"/>
    <w:rsid w:val="0036247B"/>
    <w:rsid w:val="004B2C44"/>
    <w:rsid w:val="00560AF9"/>
    <w:rsid w:val="005D2A2B"/>
    <w:rsid w:val="005D2A6F"/>
    <w:rsid w:val="00661552"/>
    <w:rsid w:val="0072333C"/>
    <w:rsid w:val="008012E5"/>
    <w:rsid w:val="0080599F"/>
    <w:rsid w:val="009637F0"/>
    <w:rsid w:val="00992A82"/>
    <w:rsid w:val="009E5EA0"/>
    <w:rsid w:val="00A344EC"/>
    <w:rsid w:val="00AC0469"/>
    <w:rsid w:val="00AD0116"/>
    <w:rsid w:val="00B17446"/>
    <w:rsid w:val="00BC53A6"/>
    <w:rsid w:val="00C7351C"/>
    <w:rsid w:val="00C96DA6"/>
    <w:rsid w:val="00CD723A"/>
    <w:rsid w:val="00DA6534"/>
    <w:rsid w:val="00DF2D66"/>
    <w:rsid w:val="00E07D5B"/>
    <w:rsid w:val="00F02AB1"/>
    <w:rsid w:val="00F3355E"/>
    <w:rsid w:val="00F53AA9"/>
    <w:rsid w:val="00F64647"/>
    <w:rsid w:val="00FC76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1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E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570</Words>
  <Characters>3135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ficho</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ficho</dc:creator>
  <cp:keywords/>
  <dc:description/>
  <cp:lastModifiedBy>Pierre MAZERAND</cp:lastModifiedBy>
  <cp:revision>13</cp:revision>
  <dcterms:created xsi:type="dcterms:W3CDTF">2012-10-10T06:47:00Z</dcterms:created>
  <dcterms:modified xsi:type="dcterms:W3CDTF">2012-10-11T20:03:00Z</dcterms:modified>
</cp:coreProperties>
</file>